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512"/>
      </w:tblGrid>
      <w:tr w:rsidR="001401B4" w14:paraId="48700D99" w14:textId="77777777">
        <w:tc>
          <w:tcPr>
            <w:tcW w:w="10512" w:type="dxa"/>
            <w:tcBorders>
              <w:top w:val="none" w:sz="0" w:space="0" w:color="FFFFFF"/>
              <w:left w:val="none" w:sz="0" w:space="0" w:color="FFFFFF"/>
              <w:bottom w:val="none" w:sz="0" w:space="0" w:color="FFFFFF"/>
              <w:right w:val="none" w:sz="0" w:space="0" w:color="FFFFFF"/>
            </w:tcBorders>
            <w:shd w:val="clear" w:color="auto" w:fill="1B4FD8"/>
            <w:tcMar>
              <w:top w:w="70" w:type="dxa"/>
              <w:left w:w="280" w:type="dxa"/>
              <w:bottom w:w="70" w:type="dxa"/>
              <w:right w:w="280" w:type="dxa"/>
            </w:tcMar>
          </w:tcPr>
          <w:p w14:paraId="48700D98" w14:textId="0C10A863" w:rsidR="001401B4" w:rsidRDefault="00BC00A9">
            <w:r>
              <w:rPr>
                <w:rFonts w:ascii="Arial" w:eastAsia="Arial" w:hAnsi="Arial" w:cs="Arial"/>
                <w:b/>
                <w:bCs/>
                <w:color w:val="FFFFFF" w:themeColor="background1"/>
              </w:rPr>
              <w:t>SchoolCash Online: Resources for Principals</w:t>
            </w:r>
            <w:r w:rsidR="00904723">
              <w:rPr>
                <w:rFonts w:ascii="Arial" w:eastAsia="Arial" w:hAnsi="Arial" w:cs="Arial"/>
                <w:color w:val="FFFFFF" w:themeColor="background1"/>
              </w:rPr>
              <w:t xml:space="preserve"> </w:t>
            </w:r>
            <w:r w:rsidR="00904723">
              <w:rPr>
                <w:rFonts w:ascii="Arial" w:eastAsia="Arial" w:hAnsi="Arial" w:cs="Arial"/>
                <w:color w:val="4A7FE8"/>
                <w:sz w:val="15"/>
                <w:szCs w:val="15"/>
              </w:rPr>
              <w:t xml:space="preserve">·   </w:t>
            </w:r>
          </w:p>
        </w:tc>
      </w:tr>
    </w:tbl>
    <w:p w14:paraId="48700D9A" w14:textId="77777777" w:rsidR="001401B4" w:rsidRDefault="001401B4">
      <w:pPr>
        <w:spacing w:before="180"/>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370"/>
        <w:gridCol w:w="2142"/>
      </w:tblGrid>
      <w:tr w:rsidR="001401B4" w14:paraId="48700DA0" w14:textId="77777777" w:rsidTr="00BC00A9">
        <w:tc>
          <w:tcPr>
            <w:tcW w:w="8370" w:type="dxa"/>
            <w:tcBorders>
              <w:top w:val="none" w:sz="0" w:space="0" w:color="FFFFFF"/>
              <w:left w:val="none" w:sz="0" w:space="0" w:color="FFFFFF"/>
              <w:bottom w:val="none" w:sz="0" w:space="0" w:color="FFFFFF"/>
              <w:right w:val="none" w:sz="0" w:space="0" w:color="FFFFFF"/>
            </w:tcBorders>
            <w:shd w:val="clear" w:color="auto" w:fill="FFFFFF"/>
            <w:tcMar>
              <w:top w:w="200" w:type="dxa"/>
              <w:left w:w="0" w:type="dxa"/>
              <w:bottom w:w="160" w:type="dxa"/>
              <w:right w:w="200" w:type="dxa"/>
            </w:tcMar>
            <w:vAlign w:val="bottom"/>
          </w:tcPr>
          <w:p w14:paraId="48700D9B" w14:textId="77777777" w:rsidR="001401B4" w:rsidRDefault="00904723">
            <w:pPr>
              <w:spacing w:after="40"/>
            </w:pPr>
            <w:r>
              <w:rPr>
                <w:rFonts w:ascii="Arial" w:eastAsia="Arial" w:hAnsi="Arial" w:cs="Arial"/>
                <w:b/>
                <w:bCs/>
                <w:color w:val="0D1B2A"/>
                <w:sz w:val="52"/>
                <w:szCs w:val="52"/>
              </w:rPr>
              <w:t>Going Cashless:</w:t>
            </w:r>
          </w:p>
          <w:p w14:paraId="48700D9C" w14:textId="77777777" w:rsidR="001401B4" w:rsidRDefault="00904723">
            <w:pPr>
              <w:spacing w:after="100"/>
            </w:pPr>
            <w:r>
              <w:rPr>
                <w:rFonts w:ascii="Arial" w:eastAsia="Arial" w:hAnsi="Arial" w:cs="Arial"/>
                <w:b/>
                <w:bCs/>
                <w:color w:val="1B4FD8"/>
                <w:sz w:val="52"/>
                <w:szCs w:val="52"/>
              </w:rPr>
              <w:t>Talking Points for Staff Meetings</w:t>
            </w:r>
          </w:p>
          <w:p w14:paraId="48700D9D" w14:textId="041DB96E" w:rsidR="001401B4" w:rsidRPr="003C381F" w:rsidRDefault="00904723">
            <w:pPr>
              <w:rPr>
                <w:rFonts w:ascii="Arial" w:eastAsia="Arial" w:hAnsi="Arial" w:cs="Arial"/>
                <w:i/>
                <w:iCs/>
                <w:color w:val="4A5F74"/>
              </w:rPr>
            </w:pPr>
            <w:r>
              <w:rPr>
                <w:rFonts w:ascii="Arial" w:eastAsia="Arial" w:hAnsi="Arial" w:cs="Arial"/>
                <w:i/>
                <w:iCs/>
                <w:color w:val="4A5F74"/>
              </w:rPr>
              <w:t>Use these messages when discussing the benefits of SchoolCash Online with colleagues.</w:t>
            </w:r>
          </w:p>
        </w:tc>
        <w:tc>
          <w:tcPr>
            <w:tcW w:w="2142" w:type="dxa"/>
            <w:tcBorders>
              <w:top w:val="none" w:sz="0" w:space="0" w:color="FFFFFF"/>
              <w:left w:val="single" w:sz="6" w:space="0" w:color="C8DAF0"/>
              <w:bottom w:val="none" w:sz="0" w:space="0" w:color="FFFFFF"/>
              <w:right w:val="none" w:sz="0" w:space="0" w:color="FFFFFF"/>
            </w:tcBorders>
            <w:tcMar>
              <w:top w:w="200" w:type="dxa"/>
              <w:left w:w="220" w:type="dxa"/>
              <w:bottom w:w="160" w:type="dxa"/>
              <w:right w:w="200" w:type="dxa"/>
            </w:tcMar>
            <w:vAlign w:val="center"/>
          </w:tcPr>
          <w:p w14:paraId="003B12F0" w14:textId="20E3F593" w:rsidR="00A341AD" w:rsidRPr="008E6679" w:rsidRDefault="00000000">
            <w:pPr>
              <w:spacing w:before="60" w:after="60"/>
              <w:jc w:val="center"/>
              <w:rPr>
                <w:b/>
                <w:bCs/>
              </w:rPr>
            </w:pPr>
            <w:r w:rsidRPr="008E6679">
              <w:rPr>
                <w:rFonts w:ascii="Arial" w:eastAsia="Arial" w:hAnsi="Arial" w:cs="Arial"/>
                <w:b/>
                <w:bCs/>
                <w:i/>
                <w:iCs/>
                <w:color w:val="1B4FD8"/>
                <w:sz w:val="28"/>
                <w:szCs w:val="28"/>
              </w:rPr>
              <w:t>[</w:t>
            </w:r>
            <w:r w:rsidRPr="008E6679">
              <w:rPr>
                <w:rFonts w:ascii="Arial" w:eastAsia="Arial" w:hAnsi="Arial" w:cs="Arial"/>
                <w:b/>
                <w:bCs/>
                <w:i/>
                <w:iCs/>
                <w:color w:val="1B4FD8"/>
                <w:sz w:val="28"/>
                <w:szCs w:val="28"/>
              </w:rPr>
              <w:t xml:space="preserve">Insert </w:t>
            </w:r>
            <w:r w:rsidR="00BC00A9">
              <w:rPr>
                <w:rFonts w:ascii="Arial" w:eastAsia="Arial" w:hAnsi="Arial" w:cs="Arial"/>
                <w:b/>
                <w:bCs/>
                <w:i/>
                <w:iCs/>
                <w:color w:val="1B4FD8"/>
                <w:sz w:val="28"/>
                <w:szCs w:val="28"/>
              </w:rPr>
              <w:t>District</w:t>
            </w:r>
            <w:r w:rsidRPr="008E6679">
              <w:rPr>
                <w:rFonts w:ascii="Arial" w:eastAsia="Arial" w:hAnsi="Arial" w:cs="Arial"/>
                <w:b/>
                <w:bCs/>
                <w:i/>
                <w:iCs/>
                <w:color w:val="1B4FD8"/>
                <w:sz w:val="28"/>
                <w:szCs w:val="28"/>
              </w:rPr>
              <w:t xml:space="preserve"> Logo Here</w:t>
            </w:r>
            <w:r w:rsidRPr="008E6679">
              <w:rPr>
                <w:rFonts w:ascii="Arial" w:eastAsia="Arial" w:hAnsi="Arial" w:cs="Arial"/>
                <w:b/>
                <w:bCs/>
                <w:i/>
                <w:iCs/>
                <w:color w:val="1B4FD8"/>
                <w:sz w:val="28"/>
                <w:szCs w:val="28"/>
              </w:rPr>
              <w:t>]</w:t>
            </w:r>
          </w:p>
        </w:tc>
      </w:tr>
    </w:tbl>
    <w:p w14:paraId="4CFE3641" w14:textId="77777777" w:rsidR="001E225B" w:rsidRDefault="001E225B">
      <w:pPr>
        <w:spacing w:after="100"/>
        <w:rPr>
          <w:rFonts w:ascii="Arial" w:eastAsia="Arial" w:hAnsi="Arial" w:cs="Arial"/>
          <w:b/>
          <w:bCs/>
          <w:color w:val="1B4FD8"/>
          <w:sz w:val="15"/>
          <w:szCs w:val="15"/>
        </w:rPr>
      </w:pPr>
    </w:p>
    <w:p w14:paraId="48700DA3" w14:textId="19519946" w:rsidR="001401B4" w:rsidRPr="001E225B" w:rsidRDefault="00904723" w:rsidP="001E225B">
      <w:pPr>
        <w:spacing w:after="100"/>
        <w:rPr>
          <w:sz w:val="32"/>
          <w:szCs w:val="32"/>
        </w:rPr>
      </w:pPr>
      <w:r>
        <w:rPr>
          <w:rFonts w:ascii="Arial" w:eastAsia="Arial" w:hAnsi="Arial" w:cs="Arial"/>
          <w:b/>
          <w:bCs/>
          <w:color w:val="1B4FD8"/>
          <w:sz w:val="22"/>
          <w:szCs w:val="22"/>
        </w:rPr>
        <w:t>TALKING POINTS</w:t>
      </w: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0"/>
        <w:gridCol w:w="9692"/>
      </w:tblGrid>
      <w:tr w:rsidR="001401B4" w14:paraId="48700DA8" w14:textId="77777777">
        <w:tc>
          <w:tcPr>
            <w:tcW w:w="820" w:type="dxa"/>
            <w:tcBorders>
              <w:top w:val="none" w:sz="0" w:space="0" w:color="FFFFFF"/>
              <w:left w:val="single" w:sz="16" w:space="0" w:color="1B4FD8"/>
              <w:bottom w:val="none" w:sz="0" w:space="0" w:color="FFFFFF"/>
              <w:right w:val="none" w:sz="0" w:space="0" w:color="FFFFFF"/>
            </w:tcBorders>
            <w:shd w:val="clear" w:color="auto" w:fill="EBF3FC"/>
            <w:tcMar>
              <w:top w:w="220" w:type="dxa"/>
              <w:left w:w="200" w:type="dxa"/>
              <w:bottom w:w="220" w:type="dxa"/>
              <w:right w:w="100" w:type="dxa"/>
            </w:tcMar>
          </w:tcPr>
          <w:p w14:paraId="48700DA4" w14:textId="77777777" w:rsidR="001401B4" w:rsidRDefault="00904723">
            <w:pPr>
              <w:jc w:val="center"/>
            </w:pPr>
            <w:r>
              <w:rPr>
                <w:rFonts w:ascii="Arial" w:eastAsia="Arial" w:hAnsi="Arial" w:cs="Arial"/>
                <w:b/>
                <w:bCs/>
                <w:color w:val="4A7FE8"/>
                <w:sz w:val="30"/>
                <w:szCs w:val="30"/>
              </w:rPr>
              <w:t>01</w:t>
            </w:r>
          </w:p>
        </w:tc>
        <w:tc>
          <w:tcPr>
            <w:tcW w:w="9692" w:type="dxa"/>
            <w:tcBorders>
              <w:top w:val="none" w:sz="0" w:space="0" w:color="FFFFFF"/>
              <w:left w:val="none" w:sz="0" w:space="0" w:color="FFFFFF"/>
              <w:bottom w:val="none" w:sz="0" w:space="0" w:color="FFFFFF"/>
              <w:right w:val="none" w:sz="0" w:space="0" w:color="FFFFFF"/>
            </w:tcBorders>
            <w:shd w:val="clear" w:color="auto" w:fill="EBF3FC"/>
            <w:tcMar>
              <w:top w:w="220" w:type="dxa"/>
              <w:left w:w="180" w:type="dxa"/>
              <w:bottom w:w="220" w:type="dxa"/>
              <w:right w:w="220" w:type="dxa"/>
            </w:tcMar>
          </w:tcPr>
          <w:p w14:paraId="48700DA5" w14:textId="77777777" w:rsidR="001401B4" w:rsidRPr="00001D58" w:rsidRDefault="00904723">
            <w:pPr>
              <w:spacing w:after="100"/>
              <w:rPr>
                <w:sz w:val="22"/>
                <w:szCs w:val="22"/>
              </w:rPr>
            </w:pPr>
            <w:r>
              <w:rPr>
                <w:rFonts w:ascii="Arial" w:eastAsia="Arial" w:hAnsi="Arial" w:cs="Arial"/>
                <w:b/>
                <w:bCs/>
                <w:color w:val="0D1B2A"/>
                <w:sz w:val="24"/>
                <w:szCs w:val="24"/>
              </w:rPr>
              <w:t>Free up staff to focus on students</w:t>
            </w:r>
          </w:p>
          <w:p w14:paraId="48700DA6" w14:textId="2C255A6E" w:rsidR="001401B4" w:rsidRPr="00001D58" w:rsidRDefault="00904723">
            <w:pPr>
              <w:spacing w:after="120"/>
              <w:rPr>
                <w:sz w:val="22"/>
                <w:szCs w:val="22"/>
              </w:rPr>
            </w:pPr>
            <w:r>
              <w:rPr>
                <w:rFonts w:ascii="Arial" w:eastAsia="Arial" w:hAnsi="Arial" w:cs="Arial"/>
                <w:color w:val="2D3A4A"/>
              </w:rPr>
              <w:t>When parents pay for items and fees online, school staff no longer need to spend time receiving, counting, and itemizing cash or cheques. That time goes back to what matters most – the students.</w:t>
            </w:r>
          </w:p>
          <w:p w14:paraId="48700DA7" w14:textId="6A71C5FA" w:rsidR="001401B4" w:rsidRDefault="00904723">
            <w:pPr>
              <w:pBdr>
                <w:top w:val="single" w:sz="3" w:space="6" w:color="C8DAF0"/>
              </w:pBdr>
            </w:pPr>
            <w:r>
              <w:rPr>
                <w:rFonts w:ascii="Arial" w:eastAsia="Arial" w:hAnsi="Arial" w:cs="Arial"/>
                <w:color w:val="1B4FD8"/>
                <w:sz w:val="18"/>
                <w:szCs w:val="18"/>
              </w:rPr>
              <w:t xml:space="preserve">💡 </w:t>
            </w:r>
            <w:r>
              <w:rPr>
                <w:rFonts w:ascii="Arial" w:eastAsia="Arial" w:hAnsi="Arial" w:cs="Arial"/>
                <w:i/>
                <w:iCs/>
                <w:color w:val="4A5F74"/>
                <w:sz w:val="18"/>
                <w:szCs w:val="18"/>
              </w:rPr>
              <w:t>Tip: Remind staff this isn't about adding work — it's about removing it.</w:t>
            </w:r>
          </w:p>
        </w:tc>
      </w:tr>
    </w:tbl>
    <w:p w14:paraId="48700DA9" w14:textId="77777777" w:rsidR="001401B4" w:rsidRDefault="001401B4">
      <w:pPr>
        <w:spacing w:before="120"/>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0"/>
        <w:gridCol w:w="9692"/>
      </w:tblGrid>
      <w:tr w:rsidR="001401B4" w14:paraId="48700DAE" w14:textId="77777777">
        <w:tc>
          <w:tcPr>
            <w:tcW w:w="820" w:type="dxa"/>
            <w:tcBorders>
              <w:top w:val="none" w:sz="0" w:space="0" w:color="FFFFFF"/>
              <w:left w:val="single" w:sz="16" w:space="0" w:color="1B4FD8"/>
              <w:bottom w:val="none" w:sz="0" w:space="0" w:color="FFFFFF"/>
              <w:right w:val="none" w:sz="0" w:space="0" w:color="FFFFFF"/>
            </w:tcBorders>
            <w:shd w:val="clear" w:color="auto" w:fill="EBF3FC"/>
            <w:tcMar>
              <w:top w:w="220" w:type="dxa"/>
              <w:left w:w="200" w:type="dxa"/>
              <w:bottom w:w="220" w:type="dxa"/>
              <w:right w:w="100" w:type="dxa"/>
            </w:tcMar>
          </w:tcPr>
          <w:p w14:paraId="48700DAA" w14:textId="77777777" w:rsidR="001401B4" w:rsidRDefault="00904723">
            <w:pPr>
              <w:jc w:val="center"/>
            </w:pPr>
            <w:r>
              <w:rPr>
                <w:rFonts w:ascii="Arial" w:eastAsia="Arial" w:hAnsi="Arial" w:cs="Arial"/>
                <w:b/>
                <w:bCs/>
                <w:color w:val="4A7FE8"/>
                <w:sz w:val="30"/>
                <w:szCs w:val="30"/>
              </w:rPr>
              <w:t>02</w:t>
            </w:r>
          </w:p>
        </w:tc>
        <w:tc>
          <w:tcPr>
            <w:tcW w:w="9692" w:type="dxa"/>
            <w:tcBorders>
              <w:top w:val="none" w:sz="0" w:space="0" w:color="FFFFFF"/>
              <w:left w:val="none" w:sz="0" w:space="0" w:color="FFFFFF"/>
              <w:bottom w:val="none" w:sz="0" w:space="0" w:color="FFFFFF"/>
              <w:right w:val="none" w:sz="0" w:space="0" w:color="FFFFFF"/>
            </w:tcBorders>
            <w:shd w:val="clear" w:color="auto" w:fill="EBF3FC"/>
            <w:tcMar>
              <w:top w:w="220" w:type="dxa"/>
              <w:left w:w="180" w:type="dxa"/>
              <w:bottom w:w="220" w:type="dxa"/>
              <w:right w:w="220" w:type="dxa"/>
            </w:tcMar>
          </w:tcPr>
          <w:p w14:paraId="48700DAB" w14:textId="75276A4A" w:rsidR="001401B4" w:rsidRPr="00001D58" w:rsidRDefault="00904723">
            <w:pPr>
              <w:spacing w:after="100"/>
              <w:rPr>
                <w:sz w:val="22"/>
                <w:szCs w:val="22"/>
              </w:rPr>
            </w:pPr>
            <w:r>
              <w:rPr>
                <w:rFonts w:ascii="Arial" w:eastAsia="Arial" w:hAnsi="Arial" w:cs="Arial"/>
                <w:b/>
                <w:bCs/>
                <w:color w:val="0D1B2A"/>
                <w:sz w:val="24"/>
                <w:szCs w:val="24"/>
              </w:rPr>
              <w:t>Parents are notified automatically — minimal flyers needed</w:t>
            </w:r>
          </w:p>
          <w:p w14:paraId="48700DAC" w14:textId="77777777" w:rsidR="001401B4" w:rsidRPr="00001D58" w:rsidRDefault="00904723">
            <w:pPr>
              <w:spacing w:after="120"/>
              <w:rPr>
                <w:sz w:val="22"/>
                <w:szCs w:val="22"/>
              </w:rPr>
            </w:pPr>
            <w:r>
              <w:rPr>
                <w:rFonts w:ascii="Arial" w:eastAsia="Arial" w:hAnsi="Arial" w:cs="Arial"/>
                <w:color w:val="2D3A4A"/>
              </w:rPr>
              <w:t>After office staff publishes an item to the online catalog, associated parents receive an automatic notification. No more reliance on paper flyers, reminder calls, or chasing down payments.</w:t>
            </w:r>
          </w:p>
          <w:p w14:paraId="48700DAD" w14:textId="29C506D3" w:rsidR="001401B4" w:rsidRDefault="00904723">
            <w:pPr>
              <w:pBdr>
                <w:top w:val="single" w:sz="3" w:space="6" w:color="C8DAF0"/>
              </w:pBdr>
            </w:pPr>
            <w:r>
              <w:rPr>
                <w:rFonts w:ascii="Arial" w:eastAsia="Arial" w:hAnsi="Arial" w:cs="Arial"/>
                <w:color w:val="1B4FD8"/>
                <w:sz w:val="18"/>
                <w:szCs w:val="18"/>
              </w:rPr>
              <w:t xml:space="preserve">💡 </w:t>
            </w:r>
            <w:r>
              <w:rPr>
                <w:rFonts w:ascii="Arial" w:eastAsia="Arial" w:hAnsi="Arial" w:cs="Arial"/>
                <w:i/>
                <w:iCs/>
                <w:color w:val="4A5F74"/>
                <w:sz w:val="18"/>
                <w:szCs w:val="18"/>
              </w:rPr>
              <w:t>Tip: Stress the convenience angle — parents can pay anytime, from anywhere, on any device.</w:t>
            </w:r>
          </w:p>
        </w:tc>
      </w:tr>
    </w:tbl>
    <w:p w14:paraId="48700DAF" w14:textId="77777777" w:rsidR="001401B4" w:rsidRDefault="001401B4">
      <w:pPr>
        <w:spacing w:before="120"/>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0"/>
        <w:gridCol w:w="9692"/>
      </w:tblGrid>
      <w:tr w:rsidR="001401B4" w14:paraId="48700DB4" w14:textId="77777777">
        <w:tc>
          <w:tcPr>
            <w:tcW w:w="820" w:type="dxa"/>
            <w:tcBorders>
              <w:top w:val="none" w:sz="0" w:space="0" w:color="FFFFFF"/>
              <w:left w:val="single" w:sz="16" w:space="0" w:color="1B4FD8"/>
              <w:bottom w:val="none" w:sz="0" w:space="0" w:color="FFFFFF"/>
              <w:right w:val="none" w:sz="0" w:space="0" w:color="FFFFFF"/>
            </w:tcBorders>
            <w:shd w:val="clear" w:color="auto" w:fill="EBF3FC"/>
            <w:tcMar>
              <w:top w:w="220" w:type="dxa"/>
              <w:left w:w="200" w:type="dxa"/>
              <w:bottom w:w="220" w:type="dxa"/>
              <w:right w:w="100" w:type="dxa"/>
            </w:tcMar>
          </w:tcPr>
          <w:p w14:paraId="48700DB0" w14:textId="77777777" w:rsidR="001401B4" w:rsidRDefault="00904723">
            <w:pPr>
              <w:jc w:val="center"/>
            </w:pPr>
            <w:r>
              <w:rPr>
                <w:rFonts w:ascii="Arial" w:eastAsia="Arial" w:hAnsi="Arial" w:cs="Arial"/>
                <w:b/>
                <w:bCs/>
                <w:color w:val="4A7FE8"/>
                <w:sz w:val="30"/>
                <w:szCs w:val="30"/>
              </w:rPr>
              <w:t>03</w:t>
            </w:r>
          </w:p>
        </w:tc>
        <w:tc>
          <w:tcPr>
            <w:tcW w:w="9692" w:type="dxa"/>
            <w:tcBorders>
              <w:top w:val="none" w:sz="0" w:space="0" w:color="FFFFFF"/>
              <w:left w:val="none" w:sz="0" w:space="0" w:color="FFFFFF"/>
              <w:bottom w:val="none" w:sz="0" w:space="0" w:color="FFFFFF"/>
              <w:right w:val="none" w:sz="0" w:space="0" w:color="FFFFFF"/>
            </w:tcBorders>
            <w:shd w:val="clear" w:color="auto" w:fill="EBF3FC"/>
            <w:tcMar>
              <w:top w:w="220" w:type="dxa"/>
              <w:left w:w="180" w:type="dxa"/>
              <w:bottom w:w="220" w:type="dxa"/>
              <w:right w:w="220" w:type="dxa"/>
            </w:tcMar>
          </w:tcPr>
          <w:p w14:paraId="48700DB1" w14:textId="77777777" w:rsidR="001401B4" w:rsidRPr="00001D58" w:rsidRDefault="00904723">
            <w:pPr>
              <w:spacing w:after="100"/>
              <w:rPr>
                <w:sz w:val="22"/>
                <w:szCs w:val="22"/>
              </w:rPr>
            </w:pPr>
            <w:r>
              <w:rPr>
                <w:rFonts w:ascii="Arial" w:eastAsia="Arial" w:hAnsi="Arial" w:cs="Arial"/>
                <w:b/>
                <w:bCs/>
                <w:color w:val="0D1B2A"/>
                <w:sz w:val="24"/>
                <w:szCs w:val="24"/>
              </w:rPr>
              <w:t>A cashless school is a safer school</w:t>
            </w:r>
          </w:p>
          <w:p w14:paraId="48700DB2" w14:textId="1DA0FFE7" w:rsidR="001401B4" w:rsidRPr="00001D58" w:rsidRDefault="00904723">
            <w:pPr>
              <w:spacing w:after="120"/>
              <w:rPr>
                <w:sz w:val="22"/>
                <w:szCs w:val="22"/>
              </w:rPr>
            </w:pPr>
            <w:r>
              <w:rPr>
                <w:rFonts w:ascii="Arial" w:eastAsia="Arial" w:hAnsi="Arial" w:cs="Arial"/>
                <w:color w:val="2D3A4A"/>
              </w:rPr>
              <w:t>Coaches and club leaders no longer need to hold onto cash after school hours. Fewer cash transactions also mean fewer people coming into the building solely to make payments, improving security for students and staff alike.</w:t>
            </w:r>
          </w:p>
          <w:p w14:paraId="48700DB3" w14:textId="06A3A1ED" w:rsidR="001401B4" w:rsidRDefault="00904723">
            <w:pPr>
              <w:pBdr>
                <w:top w:val="single" w:sz="3" w:space="6" w:color="C8DAF0"/>
              </w:pBdr>
            </w:pPr>
            <w:r>
              <w:rPr>
                <w:rFonts w:ascii="Arial" w:eastAsia="Arial" w:hAnsi="Arial" w:cs="Arial"/>
                <w:color w:val="1B4FD8"/>
                <w:sz w:val="18"/>
                <w:szCs w:val="18"/>
              </w:rPr>
              <w:t xml:space="preserve">💡 </w:t>
            </w:r>
            <w:r>
              <w:rPr>
                <w:rFonts w:ascii="Arial" w:eastAsia="Arial" w:hAnsi="Arial" w:cs="Arial"/>
                <w:i/>
                <w:iCs/>
                <w:color w:val="4A5F74"/>
                <w:sz w:val="18"/>
                <w:szCs w:val="18"/>
              </w:rPr>
              <w:t>Tip: This often resonates strongly with coaches and teachers who run extracurricular activities.</w:t>
            </w:r>
          </w:p>
        </w:tc>
      </w:tr>
    </w:tbl>
    <w:p w14:paraId="48700DB5" w14:textId="77777777" w:rsidR="001401B4" w:rsidRDefault="001401B4">
      <w:pPr>
        <w:spacing w:before="120"/>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0"/>
        <w:gridCol w:w="9692"/>
      </w:tblGrid>
      <w:tr w:rsidR="001401B4" w14:paraId="48700DBA" w14:textId="77777777">
        <w:tc>
          <w:tcPr>
            <w:tcW w:w="820" w:type="dxa"/>
            <w:tcBorders>
              <w:top w:val="none" w:sz="0" w:space="0" w:color="FFFFFF"/>
              <w:left w:val="single" w:sz="16" w:space="0" w:color="1B4FD8"/>
              <w:bottom w:val="none" w:sz="0" w:space="0" w:color="FFFFFF"/>
              <w:right w:val="none" w:sz="0" w:space="0" w:color="FFFFFF"/>
            </w:tcBorders>
            <w:shd w:val="clear" w:color="auto" w:fill="EBF3FC"/>
            <w:tcMar>
              <w:top w:w="220" w:type="dxa"/>
              <w:left w:w="200" w:type="dxa"/>
              <w:bottom w:w="220" w:type="dxa"/>
              <w:right w:w="100" w:type="dxa"/>
            </w:tcMar>
          </w:tcPr>
          <w:p w14:paraId="48700DB6" w14:textId="77777777" w:rsidR="001401B4" w:rsidRDefault="00904723">
            <w:pPr>
              <w:jc w:val="center"/>
            </w:pPr>
            <w:r>
              <w:rPr>
                <w:rFonts w:ascii="Arial" w:eastAsia="Arial" w:hAnsi="Arial" w:cs="Arial"/>
                <w:b/>
                <w:bCs/>
                <w:color w:val="4A7FE8"/>
                <w:sz w:val="30"/>
                <w:szCs w:val="30"/>
              </w:rPr>
              <w:t>04</w:t>
            </w:r>
          </w:p>
        </w:tc>
        <w:tc>
          <w:tcPr>
            <w:tcW w:w="9692" w:type="dxa"/>
            <w:tcBorders>
              <w:top w:val="none" w:sz="0" w:space="0" w:color="FFFFFF"/>
              <w:left w:val="none" w:sz="0" w:space="0" w:color="FFFFFF"/>
              <w:bottom w:val="none" w:sz="0" w:space="0" w:color="FFFFFF"/>
              <w:right w:val="none" w:sz="0" w:space="0" w:color="FFFFFF"/>
            </w:tcBorders>
            <w:shd w:val="clear" w:color="auto" w:fill="EBF3FC"/>
            <w:tcMar>
              <w:top w:w="220" w:type="dxa"/>
              <w:left w:w="180" w:type="dxa"/>
              <w:bottom w:w="220" w:type="dxa"/>
              <w:right w:w="220" w:type="dxa"/>
            </w:tcMar>
          </w:tcPr>
          <w:p w14:paraId="48700DB7" w14:textId="77777777" w:rsidR="001401B4" w:rsidRPr="00001D58" w:rsidRDefault="00904723">
            <w:pPr>
              <w:spacing w:after="100"/>
              <w:rPr>
                <w:sz w:val="22"/>
                <w:szCs w:val="22"/>
              </w:rPr>
            </w:pPr>
            <w:r>
              <w:rPr>
                <w:rFonts w:ascii="Arial" w:eastAsia="Arial" w:hAnsi="Arial" w:cs="Arial"/>
                <w:b/>
                <w:bCs/>
                <w:color w:val="0D1B2A"/>
                <w:sz w:val="24"/>
                <w:szCs w:val="24"/>
              </w:rPr>
              <w:t>Online payments can boost donations and fundraising</w:t>
            </w:r>
          </w:p>
          <w:p w14:paraId="48700DB8" w14:textId="77777777" w:rsidR="001401B4" w:rsidRPr="00001D58" w:rsidRDefault="00904723">
            <w:pPr>
              <w:spacing w:after="120"/>
              <w:rPr>
                <w:sz w:val="22"/>
                <w:szCs w:val="22"/>
              </w:rPr>
            </w:pPr>
            <w:r>
              <w:rPr>
                <w:rFonts w:ascii="Arial" w:eastAsia="Arial" w:hAnsi="Arial" w:cs="Arial"/>
                <w:color w:val="2D3A4A"/>
              </w:rPr>
              <w:t>Automated payments and digital receipting make it easier for parents, grandparents, and community members to contribute. When giving is simple and convenient, schools see stronger participation and higher revenue from fundraising campaigns.</w:t>
            </w:r>
          </w:p>
          <w:p w14:paraId="48700DB9" w14:textId="4E87A955" w:rsidR="001401B4" w:rsidRDefault="00904723">
            <w:pPr>
              <w:pBdr>
                <w:top w:val="single" w:sz="3" w:space="6" w:color="C8DAF0"/>
              </w:pBdr>
            </w:pPr>
            <w:r>
              <w:rPr>
                <w:rFonts w:ascii="Arial" w:eastAsia="Arial" w:hAnsi="Arial" w:cs="Arial"/>
                <w:color w:val="1B4FD8"/>
                <w:sz w:val="18"/>
                <w:szCs w:val="18"/>
              </w:rPr>
              <w:t xml:space="preserve">💡 </w:t>
            </w:r>
            <w:r>
              <w:rPr>
                <w:rFonts w:ascii="Arial" w:eastAsia="Arial" w:hAnsi="Arial" w:cs="Arial"/>
                <w:i/>
                <w:iCs/>
                <w:color w:val="4A5F74"/>
                <w:sz w:val="18"/>
                <w:szCs w:val="18"/>
              </w:rPr>
              <w:t>Tip: Share a recent fundraising example where online giving made a difference.</w:t>
            </w:r>
          </w:p>
        </w:tc>
      </w:tr>
    </w:tbl>
    <w:p w14:paraId="48700DBB" w14:textId="77777777" w:rsidR="001401B4" w:rsidRDefault="001401B4">
      <w:pPr>
        <w:spacing w:before="240"/>
      </w:pP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530"/>
      </w:tblGrid>
      <w:tr w:rsidR="001E225B" w14:paraId="48700DC1" w14:textId="77777777" w:rsidTr="001E225B">
        <w:tc>
          <w:tcPr>
            <w:tcW w:w="10530" w:type="dxa"/>
            <w:tcBorders>
              <w:top w:val="none" w:sz="0" w:space="0" w:color="FFFFFF"/>
              <w:left w:val="none" w:sz="0" w:space="0" w:color="FFFFFF"/>
              <w:bottom w:val="none" w:sz="0" w:space="0" w:color="FFFFFF"/>
              <w:right w:val="none" w:sz="0" w:space="0" w:color="FFFFFF"/>
            </w:tcBorders>
            <w:shd w:val="clear" w:color="auto" w:fill="1B4FD8"/>
            <w:tcMar>
              <w:top w:w="200" w:type="dxa"/>
              <w:left w:w="280" w:type="dxa"/>
              <w:bottom w:w="200" w:type="dxa"/>
              <w:right w:w="200" w:type="dxa"/>
            </w:tcMar>
            <w:vAlign w:val="center"/>
          </w:tcPr>
          <w:p w14:paraId="48700DBC" w14:textId="77777777" w:rsidR="001E225B" w:rsidRPr="001E225B" w:rsidRDefault="001E225B">
            <w:pPr>
              <w:spacing w:after="70"/>
              <w:rPr>
                <w:color w:val="FFFFFF" w:themeColor="background1"/>
                <w:sz w:val="36"/>
                <w:szCs w:val="36"/>
              </w:rPr>
            </w:pPr>
            <w:r>
              <w:rPr>
                <w:rFonts w:ascii="Arial" w:eastAsia="Arial" w:hAnsi="Arial" w:cs="Arial"/>
                <w:b/>
                <w:bCs/>
                <w:color w:val="FFFFFF" w:themeColor="background1"/>
                <w:sz w:val="24"/>
                <w:szCs w:val="24"/>
              </w:rPr>
              <w:t>THE BOTTOM LINE</w:t>
            </w:r>
          </w:p>
          <w:p w14:paraId="48700DBD" w14:textId="77777777" w:rsidR="001E225B" w:rsidRDefault="001E225B">
            <w:r>
              <w:rPr>
                <w:rFonts w:ascii="Arial" w:eastAsia="Arial" w:hAnsi="Arial" w:cs="Arial"/>
                <w:color w:val="D8E8FF"/>
              </w:rPr>
              <w:t xml:space="preserve">Going cashless saves staff time, protects school funds, and makes it easier for every family to participate. </w:t>
            </w:r>
            <w:r>
              <w:rPr>
                <w:rFonts w:ascii="Arial" w:eastAsia="Arial" w:hAnsi="Arial" w:cs="Arial"/>
                <w:b/>
                <w:bCs/>
                <w:color w:val="FFFFFF"/>
              </w:rPr>
              <w:t>SchoolCash Online makes it simple.</w:t>
            </w:r>
          </w:p>
        </w:tc>
      </w:tr>
    </w:tbl>
    <w:p w14:paraId="48700DC2" w14:textId="77777777" w:rsidR="00904723" w:rsidRDefault="00904723"/>
    <w:sectPr w:rsidR="00904723" w:rsidSect="00BC00A9">
      <w:footerReference w:type="default" r:id="rId7"/>
      <w:pgSz w:w="12240" w:h="15840"/>
      <w:pgMar w:top="720" w:right="864" w:bottom="720" w:left="864" w:header="708" w:footer="3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2C111" w14:textId="77777777" w:rsidR="00E6251C" w:rsidRDefault="00E6251C" w:rsidP="00BC00A9">
      <w:r>
        <w:separator/>
      </w:r>
    </w:p>
  </w:endnote>
  <w:endnote w:type="continuationSeparator" w:id="0">
    <w:p w14:paraId="42F0DBAD" w14:textId="77777777" w:rsidR="00E6251C" w:rsidRDefault="00E6251C" w:rsidP="00BC0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5F83C" w14:textId="155E8569" w:rsidR="00BC00A9" w:rsidRDefault="00BC00A9" w:rsidP="00BC00A9">
    <w:pPr>
      <w:pStyle w:val="Footer"/>
      <w:jc w:val="right"/>
    </w:pPr>
    <w:r>
      <w:rPr>
        <w:noProof/>
      </w:rPr>
      <w:drawing>
        <wp:inline distT="0" distB="0" distL="0" distR="0" wp14:anchorId="6630C81C" wp14:editId="3C10D862">
          <wp:extent cx="811987" cy="480696"/>
          <wp:effectExtent l="0" t="0" r="7620" b="0"/>
          <wp:docPr id="195632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973557" name="Picture 342973557"/>
                  <pic:cNvPicPr/>
                </pic:nvPicPr>
                <pic:blipFill>
                  <a:blip r:embed="rId1">
                    <a:extLst>
                      <a:ext uri="{28A0092B-C50C-407E-A947-70E740481C1C}">
                        <a14:useLocalDpi xmlns:a14="http://schemas.microsoft.com/office/drawing/2010/main" val="0"/>
                      </a:ext>
                    </a:extLst>
                  </a:blip>
                  <a:stretch>
                    <a:fillRect/>
                  </a:stretch>
                </pic:blipFill>
                <pic:spPr>
                  <a:xfrm>
                    <a:off x="0" y="0"/>
                    <a:ext cx="823308" cy="48739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9F2C2" w14:textId="77777777" w:rsidR="00E6251C" w:rsidRDefault="00E6251C" w:rsidP="00BC00A9">
      <w:r>
        <w:separator/>
      </w:r>
    </w:p>
  </w:footnote>
  <w:footnote w:type="continuationSeparator" w:id="0">
    <w:p w14:paraId="58A79738" w14:textId="77777777" w:rsidR="00E6251C" w:rsidRDefault="00E6251C" w:rsidP="00BC00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60BAD"/>
    <w:multiLevelType w:val="hybridMultilevel"/>
    <w:tmpl w:val="4E78E024"/>
    <w:lvl w:ilvl="0" w:tplc="74B01AD0">
      <w:start w:val="1"/>
      <w:numFmt w:val="bullet"/>
      <w:lvlText w:val="●"/>
      <w:lvlJc w:val="left"/>
      <w:pPr>
        <w:ind w:left="720" w:hanging="360"/>
      </w:pPr>
    </w:lvl>
    <w:lvl w:ilvl="1" w:tplc="FC6447F4">
      <w:start w:val="1"/>
      <w:numFmt w:val="bullet"/>
      <w:lvlText w:val="○"/>
      <w:lvlJc w:val="left"/>
      <w:pPr>
        <w:ind w:left="1440" w:hanging="360"/>
      </w:pPr>
    </w:lvl>
    <w:lvl w:ilvl="2" w:tplc="BA721734">
      <w:start w:val="1"/>
      <w:numFmt w:val="bullet"/>
      <w:lvlText w:val="■"/>
      <w:lvlJc w:val="left"/>
      <w:pPr>
        <w:ind w:left="2160" w:hanging="360"/>
      </w:pPr>
    </w:lvl>
    <w:lvl w:ilvl="3" w:tplc="65EEB90E">
      <w:start w:val="1"/>
      <w:numFmt w:val="bullet"/>
      <w:lvlText w:val="●"/>
      <w:lvlJc w:val="left"/>
      <w:pPr>
        <w:ind w:left="2880" w:hanging="360"/>
      </w:pPr>
    </w:lvl>
    <w:lvl w:ilvl="4" w:tplc="E4B8F5EE">
      <w:start w:val="1"/>
      <w:numFmt w:val="bullet"/>
      <w:lvlText w:val="○"/>
      <w:lvlJc w:val="left"/>
      <w:pPr>
        <w:ind w:left="3600" w:hanging="360"/>
      </w:pPr>
    </w:lvl>
    <w:lvl w:ilvl="5" w:tplc="2B70B026">
      <w:start w:val="1"/>
      <w:numFmt w:val="bullet"/>
      <w:lvlText w:val="■"/>
      <w:lvlJc w:val="left"/>
      <w:pPr>
        <w:ind w:left="4320" w:hanging="360"/>
      </w:pPr>
    </w:lvl>
    <w:lvl w:ilvl="6" w:tplc="0CB83EB4">
      <w:start w:val="1"/>
      <w:numFmt w:val="bullet"/>
      <w:lvlText w:val="●"/>
      <w:lvlJc w:val="left"/>
      <w:pPr>
        <w:ind w:left="5040" w:hanging="360"/>
      </w:pPr>
    </w:lvl>
    <w:lvl w:ilvl="7" w:tplc="FCD62C2C">
      <w:start w:val="1"/>
      <w:numFmt w:val="bullet"/>
      <w:lvlText w:val="●"/>
      <w:lvlJc w:val="left"/>
      <w:pPr>
        <w:ind w:left="5760" w:hanging="360"/>
      </w:pPr>
    </w:lvl>
    <w:lvl w:ilvl="8" w:tplc="DA50E35A">
      <w:start w:val="1"/>
      <w:numFmt w:val="bullet"/>
      <w:lvlText w:val="●"/>
      <w:lvlJc w:val="left"/>
      <w:pPr>
        <w:ind w:left="6480" w:hanging="360"/>
      </w:pPr>
    </w:lvl>
  </w:abstractNum>
  <w:num w:numId="1" w16cid:durableId="161390412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1B4"/>
    <w:rsid w:val="00001D58"/>
    <w:rsid w:val="000F0B50"/>
    <w:rsid w:val="001401B4"/>
    <w:rsid w:val="00154F09"/>
    <w:rsid w:val="001E225B"/>
    <w:rsid w:val="003C381F"/>
    <w:rsid w:val="007D321D"/>
    <w:rsid w:val="008E6679"/>
    <w:rsid w:val="00904723"/>
    <w:rsid w:val="00951B27"/>
    <w:rsid w:val="00A341AD"/>
    <w:rsid w:val="00B83787"/>
    <w:rsid w:val="00BC00A9"/>
    <w:rsid w:val="00E6251C"/>
    <w:rsid w:val="00F93B1F"/>
    <w:rsid w:val="00FB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0D98"/>
  <w15:docId w15:val="{4FBB887F-8B98-42A9-A0E5-BD80A9E26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BC00A9"/>
    <w:pPr>
      <w:tabs>
        <w:tab w:val="center" w:pos="4680"/>
        <w:tab w:val="right" w:pos="9360"/>
      </w:tabs>
    </w:pPr>
  </w:style>
  <w:style w:type="character" w:customStyle="1" w:styleId="HeaderChar">
    <w:name w:val="Header Char"/>
    <w:basedOn w:val="DefaultParagraphFont"/>
    <w:link w:val="Header"/>
    <w:uiPriority w:val="99"/>
    <w:rsid w:val="00BC00A9"/>
  </w:style>
  <w:style w:type="paragraph" w:styleId="Footer">
    <w:name w:val="footer"/>
    <w:basedOn w:val="Normal"/>
    <w:link w:val="FooterChar"/>
    <w:uiPriority w:val="99"/>
    <w:unhideWhenUsed/>
    <w:rsid w:val="00BC00A9"/>
    <w:pPr>
      <w:tabs>
        <w:tab w:val="center" w:pos="4680"/>
        <w:tab w:val="right" w:pos="9360"/>
      </w:tabs>
    </w:pPr>
  </w:style>
  <w:style w:type="character" w:customStyle="1" w:styleId="FooterChar">
    <w:name w:val="Footer Char"/>
    <w:basedOn w:val="DefaultParagraphFont"/>
    <w:link w:val="Footer"/>
    <w:uiPriority w:val="99"/>
    <w:rsid w:val="00BC00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308</Words>
  <Characters>1490</Characters>
  <Application>Microsoft Office Word</Application>
  <DocSecurity>0</DocSecurity>
  <Lines>106</Lines>
  <Paragraphs>66</Paragraphs>
  <ScaleCrop>false</ScaleCrop>
  <Company>KEV Group Inc.</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David Jaarsma</cp:lastModifiedBy>
  <cp:revision>3</cp:revision>
  <dcterms:created xsi:type="dcterms:W3CDTF">2026-06-15T18:56:00Z</dcterms:created>
  <dcterms:modified xsi:type="dcterms:W3CDTF">2026-06-23T17:39:00Z</dcterms:modified>
</cp:coreProperties>
</file>